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ETIČKI KODEKS APTSCG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color w:val="2EC4B6"/>
          <w:sz w:val="24"/>
          <w:szCs w:val="24"/>
        </w:rPr>
        <w:t xml:space="preserve">Asocijacija za psihoterapijsko savjetovanje u Crnoj Gori</w:t>
      </w:r>
    </w:p>
    <w:p>
      <w:pPr>
        <w:pBdr>
          <w:bottom w:val="single" w:color="2EC4B6" w:sz="12" w:space="1"/>
        </w:pBdr>
        <w:spacing w:after="120" w:before="60"/>
      </w:pPr>
      <w:r>
        <w:t xml:space="preserve"/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Ovaj kodeks definiše temeljna etička pravila po kojima rade akreditovani članovi Asocijacija za psihoterapijsko savjetovanje u Crnoj Gori (APTSCG). Kodeks je sastavni dio uslova članstva — njegovo prihvatanje obavezno je prilikom akreditacije, a kršenje predmet je disciplinske procedure.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1. Kvalifikacije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Savjetnik je dužan da, kada se to od njega traži, otkrije svoje stručne kvalifikacije i edukacije. Predstavljanje kvalifikacija mora biti istinito i potpuno; nedopustivo je svjesno prikazivati nepostojeća, neprovjerena ili izgubljena zvanja.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2. Uslovi rada i metode prakse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Savjetnik je dužan da klijentu, na sam početak rada ili na njegov zahtjev, otkrije uslove iz ugovora o radu (cijenu, trajanje, učestalost susreta, povjerljivost, način okončanja saradnje) i — kada je to primjereno — opis metoda koje koristi.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3. Povjerljivost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Savjetnik štiti povjerljivost svih informacija dobijenih od klijenta. Na zahtjev klijenta ili po vlastitoj inicijativi, savjetnik je dužan da pojasni granice povjerljivosti — naročito okolnosti u kojima zakon ili etička obaveza nalažu komunikaciju sa trećom stranom (npr. neposredna opasnost po život, zaštita djeteta, službena dužnost prijave krivičnog djela).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4. Profesionalni odnosi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Savjetnik djeluje u najboljem interesu klijenta. Kada planira kontakt sa klijentovim ljekarom, psihijatrijskom službom ili drugim relevantnim stručnjakom, čini to uz znanje i saglasnost klijenta. Savjetnik je dužan da bude svjestan vlastitih ograničenja i da, kada je to potrebno, klijenta uputi drugom kvalifikovanom stručnjaku.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5. Odnosi sa klijentom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Savjetnik održava jasne profesionalne granice prema klijentu i tokom trajanja savjetovanja ne ulazi sa njim ni u kakav drugi — emotivni, seksualni, prijateljski, poslovni ili finansijski — odnos. Savjetnik izbjegava da radi sa osobama sa kojima je u srodstvu, ili sa svojim bliskim prijateljima i kolegama.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6. Istraživački rad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Ako savjetnik planira da klijenta uključi u bilo kakvo istraživanje, dužan je da prethodno pojasni prirodu, svrhu i uslove istraživanja. Učešće klijenta moguće je samo na osnovu njegovog izričitog, informisanog i provjerljivog pristanka, koji klijent može povući u bilo kom trenutku bez posljedica po dalji rad.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7. Publikacije i prikazi slučajeva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Kada savjetnik objavljuje klinički materijal — u stručnoj literaturi, predavanjima ili supervizijskim radovima — dužan je da zaštiti dobrobit i identitet svojih klijenata. Detaljnije studije slučaja moguće su samo uz izričitu pisanu saglasnost klijenta. Video- i audio-snimanje seansi sprovodi se isključivo uz prethodnu pisanu saglasnost klijenta.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8. Kompetencija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Savjetnik je obavezan da održava i unapređuje svoju stručnu kompetenciju. Mora biti svjestan vlastitih ličnih ograničenja i ne smije raditi kada fizički ili emocionalno nije u stanju da klijentu pruži kvalitetnu uslugu. Učestalost supervizije primjerena je nivou iskustva — početni savjetnici imaju redovniju superviziju, iskusniji rjeđu ali kontinuiranu.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9. Odštetno osiguranje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Savjetnik je dužan da svoj stručni rad, čim mu takva mogućnost bude dostupna u Crnoj Gori, adekvatno pokrije profesionalnim odštetnim osiguranjem.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10. Štetno ponašanje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Savjetnik se uzdržava od bilo kakvog ponašanja koje može škoditi klijentu, javnosti, profesiji savjetovanja, kolegama ili edukatorima. Dužan je i da se suprotstavlja takvom ponašanju kod drugih kolega — uključujući pokretanje Procedure žalbi pred Etičkom komisijom APTSCG ili, kada je to primjereno, pred krovnom asocijacijom EACP.</w:t>
      </w:r>
    </w:p>
    <w:p>
      <w:pPr>
        <w:pStyle w:val="Heading1"/>
        <w:spacing w:after="160" w:before="36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11. Sankcije</w:t>
      </w:r>
    </w:p>
    <w:p>
      <w:pPr>
        <w:spacing w:after="120"/>
        <w:jc w:val="both"/>
      </w:pPr>
      <w:r>
        <w:rPr>
          <w:rFonts w:ascii="Arial" w:cs="Arial" w:eastAsia="Arial" w:hAnsi="Arial"/>
          <w:sz w:val="22"/>
          <w:szCs w:val="22"/>
        </w:rPr>
        <w:t xml:space="preserve">Sertifikat o stručnoj kompetenciji koji APTSCG izdaje akreditovanom savjetniku važi trajno (uz redovno obnavljanje članstva), osim u slučaju da ga Upravni odbor ili Etička komisija, u skladu sa Procedurom žalbi, ne poništi zbog ozbiljnijeg kršenja Etičkog kodeksa. Svaka sankcija — bilo da je riječ o pisanoj opomeni, suspenziji ili poništenju sertifikata — biva praćena formalnim pisanim dokumentom koji se dostavlja članu na njegov e-mail i upisuje u evidenciju Asocijacije.</w:t>
      </w:r>
    </w:p>
    <w:p>
      <w:pPr>
        <w:spacing w:after="360"/>
      </w:pPr>
      <w:r>
        <w:t xml:space="preserve"> </w:t>
      </w:r>
    </w:p>
    <w:p>
      <w:pPr>
        <w:spacing w:after="12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 Podgorici, ___________________ 2026. godine.</w:t>
      </w:r>
    </w:p>
    <w:p>
      <w:pPr>
        <w:spacing w:after="240"/>
      </w:pPr>
      <w:r>
        <w:t xml:space="preserve"> </w:t>
      </w:r>
    </w:p>
    <w:p>
      <w:pPr>
        <w:jc w:val="right"/>
      </w:pPr>
      <w:r>
        <w:rPr>
          <w:rFonts w:ascii="Arial" w:cs="Arial" w:eastAsia="Arial" w:hAnsi="Arial"/>
          <w:color w:val="595959"/>
          <w:sz w:val="22"/>
          <w:szCs w:val="22"/>
        </w:rPr>
        <w:t xml:space="preserve">____________________________</w:t>
      </w:r>
    </w:p>
    <w:p>
      <w:pPr>
        <w:jc w:val="righ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Dr Bojana Miletić</w:t>
      </w:r>
    </w:p>
    <w:p>
      <w:pPr>
        <w:jc w:val="right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Predsjednica APTSCG</w:t>
      </w:r>
    </w:p>
    <w:sectPr>
      <w:headerReference w:type="default" r:id="rId7"/>
      <w:footerReference w:type="default" r:id="rId8"/>
      <w:pgSz w:w="11906" w:h="16838" w:orient="portrait"/>
      <w:pgMar w:top="2400" w:right="1440" w:bottom="180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864" w:sz="6" w:space="1"/>
      </w:pBdr>
      <w:spacing w:after="60"/>
    </w:pPr>
    <w:r>
      <w:t xml:space="preserve"/>
    </w:r>
  </w:p>
  <w:p>
    <w:pPr>
      <w:jc w:val="center"/>
    </w:pPr>
    <w:r>
      <w:rPr>
        <w:rFonts w:ascii="Arial" w:cs="Arial" w:eastAsia="Arial" w:hAnsi="Arial"/>
        <w:b/>
        <w:bCs/>
        <w:color w:val="1F3864"/>
        <w:sz w:val="18"/>
        <w:szCs w:val="18"/>
      </w:rPr>
      <w:t xml:space="preserve">Asocijacija za psihoterapijsko savjetovanje u Crnoj Gori</w:t>
    </w:r>
    <w:r>
      <w:rPr>
        <w:rFonts w:ascii="Arial" w:cs="Arial" w:eastAsia="Arial" w:hAnsi="Arial"/>
        <w:color w:val="595959"/>
        <w:sz w:val="18"/>
        <w:szCs w:val="18"/>
      </w:rPr>
      <w:t xml:space="preserve"> (APTSCG) · Piperska, Lamela 5, 81000 Podgorica</w:t>
    </w:r>
  </w:p>
  <w:p>
    <w:pPr>
      <w:jc w:val="center"/>
    </w:pPr>
    <w:r>
      <w:rPr>
        <w:rFonts w:ascii="Arial" w:cs="Arial" w:eastAsia="Arial" w:hAnsi="Arial"/>
        <w:b/>
        <w:bCs/>
        <w:color w:val="2EC4B6"/>
        <w:sz w:val="18"/>
        <w:szCs w:val="18"/>
      </w:rPr>
      <w:t xml:space="preserve">apscg.me</w:t>
    </w:r>
    <w:r>
      <w:rPr>
        <w:rFonts w:ascii="Arial" w:cs="Arial" w:eastAsia="Arial" w:hAnsi="Arial"/>
        <w:color w:val="595959"/>
        <w:sz w:val="18"/>
        <w:szCs w:val="18"/>
      </w:rPr>
      <w:t xml:space="preserve"> · info@apscg.me · +382 (0)67 380 612 · </w:t>
    </w:r>
    <w:r>
      <w:rPr>
        <w:rFonts w:ascii="Arial" w:cs="Arial" w:eastAsia="Arial" w:hAnsi="Arial"/>
        <w:i/>
        <w:iCs/>
        <w:color w:val="2EC4B6"/>
        <w:sz w:val="18"/>
        <w:szCs w:val="18"/>
      </w:rPr>
      <w:t xml:space="preserve">Nacionalna asocijacija EACP</w:t>
    </w:r>
  </w:p>
  <w:p>
    <w:pPr>
      <w:spacing w:before="40"/>
      <w:jc w:val="center"/>
    </w:pPr>
    <w:r>
      <w:rPr>
        <w:rFonts w:ascii="Arial" w:cs="Arial" w:eastAsia="Arial" w:hAnsi="Arial"/>
        <w:color w:val="8C8C8C"/>
        <w:sz w:val="16"/>
        <w:szCs w:val="16"/>
      </w:rPr>
      <w:t xml:space="preserve">Strana </w:t>
    </w:r>
    <w:r>
      <w:rPr>
        <w:rFonts w:ascii="Arial" w:cs="Arial" w:eastAsia="Arial" w:hAnsi="Arial"/>
        <w:color w:val="8C8C8C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C8C8C"/>
        <w:sz w:val="16"/>
        <w:szCs w:val="16"/>
      </w:rPr>
      <w:t xml:space="preserve"> od </w:t>
    </w:r>
    <w:r>
      <w:rPr>
        <w:rFonts w:ascii="Arial" w:cs="Arial" w:eastAsia="Arial" w:hAnsi="Arial"/>
        <w:color w:val="8C8C8C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  <w:jc w:val="left"/>
    </w:pPr>
    <w:r>
      <w:drawing>
        <wp:inline distT="0" distB="0" distL="0" distR="0">
          <wp:extent cx="2857500" cy="714375"/>
          <wp:effectExtent t="0" r="0" b="0" l="0"/>
          <wp:docPr id="1" name="logo" descr="APTSCG logo" title="APTS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2EC4B6" w:sz="12" w:space="1"/>
      </w:pBdr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a2f5cdc7b6d7cd8fe6c57949a03d02033e877d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Etički kodeks APTSCG</dc:title>
  <dc:creator>APTSCG</dc:creator>
  <cp:lastModifiedBy>Un-named</cp:lastModifiedBy>
  <cp:revision>1</cp:revision>
  <dcterms:created xsi:type="dcterms:W3CDTF">2026-05-16T05:29:42.376Z</dcterms:created>
  <dcterms:modified xsi:type="dcterms:W3CDTF">2026-05-16T05:29:42.378Z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