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PRAVILNIK O POSTUPKU PO ŽALBAMA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2EC4B6"/>
          <w:sz w:val="24"/>
          <w:szCs w:val="24"/>
        </w:rPr>
        <w:t xml:space="preserve">Procedura zaštite klijenata i kolega od neetičkog postupanja članova · APTSCG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8C8C8C"/>
          <w:sz w:val="22"/>
          <w:szCs w:val="22"/>
        </w:rPr>
        <w:t xml:space="preserve">Verzija 1.0 — nacrt za usvajanje · Maj 2026.</w:t>
      </w:r>
    </w:p>
    <w:p>
      <w:pPr>
        <w:pBdr>
          <w:bottom w:val="single" w:color="2EC4B6" w:sz="12" w:space="1"/>
        </w:pBdr>
        <w:spacing w:after="120" w:before="6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1. Predmet i opseg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Ovim pravilnikom uređuje se postupak po žalbama na rad članova Asocijacija za psihoterapijsko savjetovanje u Crnoj Gori (APTSCG), uključujući postupke pred Etičkom komisijom i pravo žalbe na njene odluke.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Pravilnik se primjenjuje na sve članove APTSCG bez obzira na kategoriju članstva.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Procedura je usklađena sa zahtjevima Evropske asocijacije za savjetničku profesiju (EACP) za nacionalne asocijacije.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2. Definicije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Žalba </w:t>
      </w:r>
      <w:r>
        <w:rPr>
          <w:rFonts w:ascii="Arial" w:cs="Arial" w:eastAsia="Arial" w:hAnsi="Arial"/>
          <w:sz w:val="22"/>
          <w:szCs w:val="22"/>
        </w:rPr>
        <w:t xml:space="preserve">— pisani podnesak kojim se ukazuje na navodno kršenje Etičkog kodeksa, statuta ili drugih akata Asocijacije od strane člana.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Podnosilac </w:t>
      </w:r>
      <w:r>
        <w:rPr>
          <w:rFonts w:ascii="Arial" w:cs="Arial" w:eastAsia="Arial" w:hAnsi="Arial"/>
          <w:sz w:val="22"/>
          <w:szCs w:val="22"/>
        </w:rPr>
        <w:t xml:space="preserve">— lice koje podnosi žalbu.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Prijavljeni član </w:t>
      </w:r>
      <w:r>
        <w:rPr>
          <w:rFonts w:ascii="Arial" w:cs="Arial" w:eastAsia="Arial" w:hAnsi="Arial"/>
          <w:sz w:val="22"/>
          <w:szCs w:val="22"/>
        </w:rPr>
        <w:t xml:space="preserve">— član APTSCG protiv kojeg je žalba podnesena.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Etička komisija </w:t>
      </w:r>
      <w:r>
        <w:rPr>
          <w:rFonts w:ascii="Arial" w:cs="Arial" w:eastAsia="Arial" w:hAnsi="Arial"/>
          <w:sz w:val="22"/>
          <w:szCs w:val="22"/>
        </w:rPr>
        <w:t xml:space="preserve">— stalno radno tijelo APTSCG koje rješava žalbe u prvom stepenu.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Skupština </w:t>
      </w:r>
      <w:r>
        <w:rPr>
          <w:rFonts w:ascii="Arial" w:cs="Arial" w:eastAsia="Arial" w:hAnsi="Arial"/>
          <w:sz w:val="22"/>
          <w:szCs w:val="22"/>
        </w:rPr>
        <w:t xml:space="preserve">— najviši organ APTSCG, odlučuje po žalbi na odluku Etičke komisije.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3. Ko može podnijeti žalbu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Klijent ili bivši klijent člana APTSCG.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Roditelj ili zakonski staratelj klijenta koji je maloljetan ili lišen poslovne sposobnosti.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Drugi član APTSCG ili kolega iz srodne profesije.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Bilo koje treće lice koje ima neposredna saznanja o navodnom kršenju kodeksa.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Predsjednica APTSCG po službenoj dužnosti.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Drugi organi APTSCG po službenoj dužnosti.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4. Forma i sadržaj žalbe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Žalba se podnosi pisanim putem.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Žalba treba da sadrži: ime, prezime i kontakt podnosioca; ime prijavljenog člana; opis navodnog kršenja sa što preciznijim datumima i okolnostima; eventualne dokaze; potpis i datum.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Anonimne žalbe Etička komisija razmatra samo izuzetno, ako sadrže dovoljno konkretnih i provjerljivih informacija o ozbiljnom kršenju koje ugrožava klijente.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Žalba se podnosi na e-mail info@apscg.me ili poštom na adresu Piperska, Lamela 5, 81000 Podgorica.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5. Etička komisija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Etička komisija ima tri člana koje imenuje Skupština APTSCG iz reda iskusnih akreditovanih savjetnika sa najmanje pet godina prakse.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Mandat članova Komisije je četiri godine, sa mogućnošću jednog reizbora.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Član Komisije izuzima se iz postupka u slučaju lične zainteresovanosti, srodstva ili stručne veze sa stranama.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Komisija odlučuje većinom glasova svih članova.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6. Postupak</w:t>
      </w:r>
    </w:p>
    <w:p>
      <w:pPr>
        <w:pStyle w:val="Heading3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6.1. Prethodni postupak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 roku od 15 dana od prijema žalbe Etička komisija ispituje da li su ispunjeni formalni uslovi.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Ako žalba nije potpuna, Komisija poziva podnosioca da je dopuni u dodatnom roku od 15 dana.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Komisija može odbaciti žalbu zaključkom ako: nije nadležna, žalba je preranjena ili van roka, žalba je očigledno neosnovana, ili podnosilac nije ovlašćen.</w:t>
      </w:r>
    </w:p>
    <w:p>
      <w:pPr>
        <w:pStyle w:val="Heading3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6.2. Glavni postupak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Prijavljenom članu dostavlja se primjerak žalbe sa pozivom da se pisano izjasni u roku od 30 dana.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Komisija može pozvati strane na usmenu raspravu, tražiti dodatne dokumente ili saslušati svjedoke.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Cio postupak vodi se uz puno poštovanje povjerljivosti.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Komisija donosi obrazloženu odluku u roku od 90 dana od prijema potpune žalbe; rok se može produžiti za 30 dana u složenim slučajevima, uz pisano obavještenje stranama.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7. Disciplinske mjere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Pisana opomena </w:t>
      </w:r>
      <w:r>
        <w:rPr>
          <w:rFonts w:ascii="Arial" w:cs="Arial" w:eastAsia="Arial" w:hAnsi="Arial"/>
          <w:sz w:val="22"/>
          <w:szCs w:val="22"/>
        </w:rPr>
        <w:t xml:space="preserve">— u slučaju lakših kršenja.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Pisani ukor </w:t>
      </w:r>
      <w:r>
        <w:rPr>
          <w:rFonts w:ascii="Arial" w:cs="Arial" w:eastAsia="Arial" w:hAnsi="Arial"/>
          <w:sz w:val="22"/>
          <w:szCs w:val="22"/>
        </w:rPr>
        <w:t xml:space="preserve">— u slučaju srednje teških kršenja.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Privremena suspenzija članstva </w:t>
      </w:r>
      <w:r>
        <w:rPr>
          <w:rFonts w:ascii="Arial" w:cs="Arial" w:eastAsia="Arial" w:hAnsi="Arial"/>
          <w:sz w:val="22"/>
          <w:szCs w:val="22"/>
        </w:rPr>
        <w:t xml:space="preserve">od 3 do 24 mjeseca — kada je kršenje teško ili ponavlja se.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Trajno isključenje </w:t>
      </w:r>
      <w:r>
        <w:rPr>
          <w:rFonts w:ascii="Arial" w:cs="Arial" w:eastAsia="Arial" w:hAnsi="Arial"/>
          <w:sz w:val="22"/>
          <w:szCs w:val="22"/>
        </w:rPr>
        <w:t xml:space="preserve">iz APTSCG i gubitak nacionalnog sertifikata — u slučaju najtežih kršenja.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Obavještavanje EACP-a </w:t>
      </w:r>
      <w:r>
        <w:rPr>
          <w:rFonts w:ascii="Arial" w:cs="Arial" w:eastAsia="Arial" w:hAnsi="Arial"/>
          <w:sz w:val="22"/>
          <w:szCs w:val="22"/>
        </w:rPr>
        <w:t xml:space="preserve">— u slučajevima koji utiču na status ECPC sertifikata.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8. Pravo žalbe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Protiv odluke Etičke komisije, kako podnosilac tako i prijavljeni član imaju pravo žalbe Skupštini APTSCG u roku od 30 dana od prijema odluke (u skladu sa statutom).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Skupština razmatra žalbu na prvoj redovnoj sjednici, a najkasnije u roku od šest mjeseci.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Odluka Skupštine je konačna unutar Asocijacije.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Pravo na sudsku zaštitu prema zakonima Crne Gore ostaje neograničeno.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9. Zaštita podnosioca i prijavljenog člana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Identitet podnosioca i prijavljenog člana čuva se kao povjerljiv tokom postupka.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APTSCG štiti podnosioca od bilo kakvih oblika odmazde.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Po okončanju postupka, samo izricane mjere mogu biti javno objavljene, bez detalja koji bi otkrili identitet klijenta.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10. Evidencija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APTSCG vodi povjerljivu evidenciju svih podnesenih žalbi i izrečenih mjera. Agregirani godišnji izvještaj (broj žalbi, vrste mjera, bez ličnih podataka) objavljuje se na sajtu apscg.me i dostavlja EACP-u.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11. Stupanje na snagu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Ovaj pravilnik stupa na snagu danom usvajanja na Skupštini APTSCG.</w:t>
      </w:r>
    </w:p>
    <w:p>
      <w:pPr>
        <w:spacing w:after="360"/>
      </w:pPr>
      <w:r>
        <w:t xml:space="preserve"> 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U Podgorici, ___________________ 2026. godine</w:t>
      </w:r>
    </w:p>
    <w:p>
      <w:pPr>
        <w:spacing w:after="240"/>
      </w:pPr>
      <w:r>
        <w:t xml:space="preserve"> </w:t>
      </w:r>
    </w:p>
    <w:p>
      <w:pPr>
        <w:jc w:val="right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____________________________</w:t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Dr Bojana Miletić</w:t>
      </w:r>
    </w:p>
    <w:p>
      <w:pPr>
        <w:jc w:val="right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Predsjednica APTSCG</w:t>
      </w:r>
    </w:p>
    <w:sectPr>
      <w:headerReference w:type="default" r:id="rId7"/>
      <w:footerReference w:type="default" r:id="rId8"/>
      <w:pgSz w:w="11906" w:h="16838" w:orient="portrait"/>
      <w:pgMar w:top="2400" w:right="1440" w:bottom="180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864" w:sz="6" w:space="1"/>
      </w:pBdr>
      <w:spacing w:after="60"/>
    </w:pPr>
    <w:r>
      <w:t xml:space="preserve"/>
    </w:r>
  </w:p>
  <w:p>
    <w:pPr>
      <w:jc w:val="center"/>
    </w:pPr>
    <w:r>
      <w:rPr>
        <w:rFonts w:ascii="Arial" w:cs="Arial" w:eastAsia="Arial" w:hAnsi="Arial"/>
        <w:b/>
        <w:bCs/>
        <w:color w:val="1F3864"/>
        <w:sz w:val="18"/>
        <w:szCs w:val="18"/>
      </w:rPr>
      <w:t xml:space="preserve">Asocijacija za psihoterapijsko savjetovanje u Crnoj Gori</w:t>
    </w:r>
    <w:r>
      <w:rPr>
        <w:rFonts w:ascii="Arial" w:cs="Arial" w:eastAsia="Arial" w:hAnsi="Arial"/>
        <w:color w:val="595959"/>
        <w:sz w:val="18"/>
        <w:szCs w:val="18"/>
      </w:rPr>
      <w:t xml:space="preserve"> (APTSCG) · Piperska, Lamela 5, 81000 Podgorica</w:t>
    </w:r>
  </w:p>
  <w:p>
    <w:pPr>
      <w:jc w:val="center"/>
    </w:pPr>
    <w:r>
      <w:rPr>
        <w:rFonts w:ascii="Arial" w:cs="Arial" w:eastAsia="Arial" w:hAnsi="Arial"/>
        <w:b/>
        <w:bCs/>
        <w:color w:val="2EC4B6"/>
        <w:sz w:val="18"/>
        <w:szCs w:val="18"/>
      </w:rPr>
      <w:t xml:space="preserve">apscg.me</w:t>
    </w:r>
    <w:r>
      <w:rPr>
        <w:rFonts w:ascii="Arial" w:cs="Arial" w:eastAsia="Arial" w:hAnsi="Arial"/>
        <w:color w:val="595959"/>
        <w:sz w:val="18"/>
        <w:szCs w:val="18"/>
      </w:rPr>
      <w:t xml:space="preserve"> · info@apscg.me · +382 (0)67 380 612 · </w:t>
    </w:r>
    <w:r>
      <w:rPr>
        <w:rFonts w:ascii="Arial" w:cs="Arial" w:eastAsia="Arial" w:hAnsi="Arial"/>
        <w:i/>
        <w:iCs/>
        <w:color w:val="2EC4B6"/>
        <w:sz w:val="18"/>
        <w:szCs w:val="18"/>
      </w:rPr>
      <w:t xml:space="preserve">Nacionalna asocijacija EACP</w:t>
    </w:r>
  </w:p>
  <w:p>
    <w:pPr>
      <w:spacing w:before="40"/>
      <w:jc w:val="center"/>
    </w:pPr>
    <w:r>
      <w:rPr>
        <w:rFonts w:ascii="Arial" w:cs="Arial" w:eastAsia="Arial" w:hAnsi="Arial"/>
        <w:color w:val="8C8C8C"/>
        <w:sz w:val="16"/>
        <w:szCs w:val="16"/>
      </w:rPr>
      <w:t xml:space="preserve">Strana </w:t>
    </w:r>
    <w:r>
      <w:rPr>
        <w:rFonts w:ascii="Arial" w:cs="Arial" w:eastAsia="Arial" w:hAnsi="Arial"/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C8C8C"/>
        <w:sz w:val="16"/>
        <w:szCs w:val="16"/>
      </w:rPr>
      <w:t xml:space="preserve"> od </w:t>
    </w:r>
    <w:r>
      <w:rPr>
        <w:rFonts w:ascii="Arial" w:cs="Arial" w:eastAsia="Arial" w:hAnsi="Arial"/>
        <w:color w:val="8C8C8C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  <w:jc w:val="left"/>
    </w:pPr>
    <w:r>
      <w:drawing>
        <wp:inline distT="0" distB="0" distL="0" distR="0">
          <wp:extent cx="2857500" cy="714375"/>
          <wp:effectExtent t="0" r="0" b="0" l="0"/>
          <wp:docPr id="1" name="logo" descr="APTSCG logo" title="APTS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2EC4B6" w:sz="12" w:space="1"/>
      </w:pBdr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Arial" w:cs="Arial" w:eastAsia="Arial" w:hAnsi="Arial"/>
      <w:b/>
      <w:bCs/>
      <w:color w:val="2EC4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F386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a2f5cdc7b6d7cd8fe6c57949a03d02033e877d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žalbi APTSCG</dc:title>
  <dc:creator>APTSCG</dc:creator>
  <cp:lastModifiedBy>Un-named</cp:lastModifiedBy>
  <cp:revision>1</cp:revision>
  <dcterms:created xsi:type="dcterms:W3CDTF">2026-05-16T05:10:39.301Z</dcterms:created>
  <dcterms:modified xsi:type="dcterms:W3CDTF">2026-05-16T05:10:39.301Z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